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384" w:lineRule="atLeast"/>
        <w:jc w:val="center"/>
        <w:rPr>
          <w:rFonts w:hint="eastAsia" w:ascii="方正小标宋简体" w:hAnsi="宋体-方正超大字符集" w:eastAsia="方正小标宋简体" w:cs="宋体-方正超大字符集"/>
          <w:b/>
          <w:bCs/>
          <w:kern w:val="2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384" w:lineRule="atLeast"/>
        <w:jc w:val="center"/>
        <w:rPr>
          <w:rFonts w:hint="eastAsia" w:asciiTheme="majorEastAsia" w:hAnsiTheme="majorEastAsia" w:eastAsiaTheme="majorEastAsia" w:cstheme="majorEastAsia"/>
          <w:b w:val="0"/>
          <w:bCs w:val="0"/>
          <w:kern w:val="2"/>
          <w:sz w:val="72"/>
          <w:szCs w:val="7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kern w:val="2"/>
          <w:sz w:val="72"/>
          <w:szCs w:val="72"/>
          <w:lang w:val="en-US" w:eastAsia="zh-CN"/>
        </w:rPr>
        <w:t>2017年度部门决算公开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center"/>
        <w:rPr>
          <w:rFonts w:hint="eastAsia" w:asciiTheme="majorEastAsia" w:hAnsiTheme="majorEastAsia" w:eastAsiaTheme="majorEastAsia" w:cstheme="majorEastAsia"/>
          <w:b w:val="0"/>
          <w:bCs w:val="0"/>
          <w:kern w:val="2"/>
          <w:sz w:val="72"/>
          <w:szCs w:val="72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384" w:lineRule="atLeast"/>
        <w:jc w:val="center"/>
        <w:rPr>
          <w:rFonts w:hint="eastAsia" w:asciiTheme="majorEastAsia" w:hAnsiTheme="majorEastAsia" w:eastAsiaTheme="majorEastAsia" w:cstheme="majorEastAsia"/>
          <w:b w:val="0"/>
          <w:bCs w:val="0"/>
          <w:kern w:val="2"/>
          <w:sz w:val="72"/>
          <w:szCs w:val="72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384" w:lineRule="atLeast"/>
        <w:jc w:val="center"/>
        <w:rPr>
          <w:rFonts w:hint="eastAsia" w:asciiTheme="majorEastAsia" w:hAnsiTheme="majorEastAsia" w:eastAsiaTheme="majorEastAsia" w:cstheme="majorEastAsia"/>
          <w:b w:val="0"/>
          <w:bCs w:val="0"/>
          <w:kern w:val="2"/>
          <w:sz w:val="72"/>
          <w:szCs w:val="72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384" w:lineRule="atLeast"/>
        <w:jc w:val="center"/>
        <w:rPr>
          <w:rFonts w:hint="eastAsia" w:asciiTheme="majorEastAsia" w:hAnsiTheme="majorEastAsia" w:eastAsiaTheme="majorEastAsia" w:cstheme="majorEastAsia"/>
          <w:b w:val="0"/>
          <w:bCs w:val="0"/>
          <w:kern w:val="2"/>
          <w:sz w:val="72"/>
          <w:szCs w:val="72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384" w:lineRule="atLeast"/>
        <w:jc w:val="center"/>
        <w:rPr>
          <w:rFonts w:hint="eastAsia" w:asciiTheme="majorEastAsia" w:hAnsiTheme="majorEastAsia" w:eastAsiaTheme="majorEastAsia" w:cstheme="majorEastAsia"/>
          <w:b w:val="0"/>
          <w:bCs w:val="0"/>
          <w:kern w:val="2"/>
          <w:sz w:val="72"/>
          <w:szCs w:val="72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384" w:lineRule="atLeast"/>
        <w:jc w:val="center"/>
        <w:rPr>
          <w:rFonts w:hint="eastAsia" w:asciiTheme="majorEastAsia" w:hAnsiTheme="majorEastAsia" w:eastAsiaTheme="majorEastAsia" w:cstheme="majorEastAsia"/>
          <w:b w:val="0"/>
          <w:bCs w:val="0"/>
          <w:kern w:val="2"/>
          <w:sz w:val="72"/>
          <w:szCs w:val="72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384" w:lineRule="atLeast"/>
        <w:jc w:val="center"/>
        <w:rPr>
          <w:rFonts w:hint="eastAsia" w:asciiTheme="majorEastAsia" w:hAnsiTheme="majorEastAsia" w:eastAsiaTheme="majorEastAsia" w:cstheme="majorEastAsia"/>
          <w:b w:val="0"/>
          <w:bCs w:val="0"/>
          <w:kern w:val="2"/>
          <w:sz w:val="72"/>
          <w:szCs w:val="72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384" w:lineRule="atLeast"/>
        <w:jc w:val="center"/>
        <w:rPr>
          <w:rFonts w:hint="eastAsia" w:asciiTheme="majorEastAsia" w:hAnsiTheme="majorEastAsia" w:eastAsiaTheme="majorEastAsia" w:cstheme="majorEastAsia"/>
          <w:b w:val="0"/>
          <w:bCs w:val="0"/>
          <w:kern w:val="2"/>
          <w:sz w:val="72"/>
          <w:szCs w:val="72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384" w:lineRule="atLeast"/>
        <w:jc w:val="center"/>
        <w:rPr>
          <w:rFonts w:hint="eastAsia" w:asciiTheme="majorEastAsia" w:hAnsiTheme="majorEastAsia" w:eastAsiaTheme="majorEastAsia" w:cstheme="majorEastAsia"/>
          <w:b w:val="0"/>
          <w:bCs w:val="0"/>
          <w:kern w:val="2"/>
          <w:sz w:val="72"/>
          <w:szCs w:val="72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384" w:lineRule="atLeast"/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/>
        </w:rPr>
        <w:t>大厂回族自治县大厂镇人民政府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center"/>
        <w:rPr>
          <w:rFonts w:hint="eastAsia" w:ascii="方正小标宋简体" w:hAnsi="宋体-方正超大字符集" w:eastAsia="方正小标宋简体" w:cs="宋体-方正超大字符集"/>
          <w:b/>
          <w:bCs/>
          <w:kern w:val="2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384" w:lineRule="atLeast"/>
        <w:jc w:val="center"/>
        <w:rPr>
          <w:rFonts w:hint="eastAsia" w:ascii="方正小标宋简体" w:hAnsi="宋体-方正超大字符集" w:eastAsia="方正小标宋简体" w:cs="宋体-方正超大字符集"/>
          <w:b/>
          <w:bCs/>
          <w:kern w:val="2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384" w:lineRule="atLeast"/>
        <w:jc w:val="center"/>
        <w:rPr>
          <w:rFonts w:hint="eastAsia" w:ascii="方正小标宋简体" w:hAnsi="宋体-方正超大字符集" w:eastAsia="方正小标宋简体" w:cs="宋体-方正超大字符集"/>
          <w:b/>
          <w:bCs/>
          <w:kern w:val="2"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b/>
          <w:bCs/>
          <w:kern w:val="2"/>
          <w:sz w:val="44"/>
          <w:szCs w:val="44"/>
        </w:rPr>
        <w:t>大厂回族自治县大厂镇人民政府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ind w:firstLine="600"/>
        <w:jc w:val="center"/>
        <w:rPr>
          <w:rFonts w:ascii="方正小标宋简体" w:hAnsi="宋体-方正超大字符集" w:eastAsia="方正小标宋简体" w:cs="宋体-方正超大字符集"/>
          <w:b/>
          <w:bCs/>
          <w:kern w:val="2"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b/>
          <w:bCs/>
          <w:kern w:val="2"/>
          <w:sz w:val="44"/>
          <w:szCs w:val="44"/>
        </w:rPr>
        <w:t>201</w:t>
      </w:r>
      <w:r>
        <w:rPr>
          <w:rFonts w:hint="eastAsia" w:ascii="方正小标宋简体" w:hAnsi="宋体-方正超大字符集" w:eastAsia="方正小标宋简体" w:cs="宋体-方正超大字符集"/>
          <w:b/>
          <w:bCs/>
          <w:kern w:val="2"/>
          <w:sz w:val="44"/>
          <w:szCs w:val="44"/>
          <w:lang w:val="en-US" w:eastAsia="zh-CN"/>
        </w:rPr>
        <w:t>7</w:t>
      </w:r>
      <w:r>
        <w:rPr>
          <w:rFonts w:hint="eastAsia" w:ascii="方正小标宋简体" w:hAnsi="宋体-方正超大字符集" w:eastAsia="方正小标宋简体" w:cs="宋体-方正超大字符集"/>
          <w:b/>
          <w:bCs/>
          <w:kern w:val="2"/>
          <w:sz w:val="44"/>
          <w:szCs w:val="44"/>
        </w:rPr>
        <w:t>年度部门决算公开目录</w:t>
      </w:r>
    </w:p>
    <w:p>
      <w:pPr>
        <w:spacing w:line="560" w:lineRule="exact"/>
        <w:rPr>
          <w:rFonts w:ascii="仿宋_GB2312" w:hAnsi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第一部分   </w:t>
      </w:r>
      <w:r>
        <w:rPr>
          <w:rFonts w:hint="eastAsia" w:ascii="黑体" w:hAnsi="黑体" w:eastAsia="黑体"/>
          <w:sz w:val="32"/>
          <w:szCs w:val="32"/>
          <w:lang w:eastAsia="zh-CN"/>
        </w:rPr>
        <w:t>大厂回族自治县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大厂镇人民政府</w:t>
      </w:r>
      <w:r>
        <w:rPr>
          <w:rFonts w:hint="eastAsia" w:ascii="黑体" w:hAnsi="黑体" w:eastAsia="黑体"/>
          <w:sz w:val="32"/>
          <w:szCs w:val="32"/>
        </w:rPr>
        <w:t>部门概况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一、部门职责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二、部门决算单位构成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920" w:hanging="1920" w:hangingChars="6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 xml:space="preserve">第二部分   </w:t>
      </w:r>
      <w:r>
        <w:rPr>
          <w:rFonts w:hint="eastAsia" w:ascii="黑体" w:hAnsi="黑体" w:eastAsia="黑体"/>
          <w:sz w:val="32"/>
          <w:szCs w:val="32"/>
          <w:lang w:eastAsia="zh-CN"/>
        </w:rPr>
        <w:t>大厂回族自治县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大厂镇人民政府</w:t>
      </w:r>
      <w:r>
        <w:rPr>
          <w:rFonts w:hint="eastAsia" w:ascii="黑体" w:hAnsi="黑体" w:eastAsia="黑体"/>
          <w:sz w:val="32"/>
          <w:szCs w:val="32"/>
        </w:rPr>
        <w:t>2017年度部</w:t>
      </w:r>
      <w:r>
        <w:rPr>
          <w:rFonts w:hint="eastAsia" w:ascii="黑体" w:hAnsi="黑体" w:eastAsia="黑体"/>
          <w:sz w:val="32"/>
          <w:szCs w:val="32"/>
          <w:lang w:eastAsia="zh-CN"/>
        </w:rPr>
        <w:t>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_GB2312" w:hAnsi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eastAsia="zh-CN"/>
        </w:rPr>
        <w:t>决算报表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一、收入支出决算总表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二、收入决算表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三、支出决算表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四、财政拨款收入支出决算总表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五、一般公共预算财政拨款收入支出决算表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六、一般公共预算财政拨款基本支出决算表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七、政府性基金预算财政拨款收入支出决算表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八、国有资本经营预算财政拨款收入支出决算表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九、“三公”经费及相关信息统计表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十、政府采购情况表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第三部分  </w:t>
      </w:r>
      <w:r>
        <w:rPr>
          <w:rFonts w:hint="eastAsia" w:ascii="黑体" w:hAnsi="黑体" w:eastAsia="黑体"/>
          <w:sz w:val="32"/>
          <w:szCs w:val="32"/>
          <w:lang w:eastAsia="zh-CN"/>
        </w:rPr>
        <w:t>大厂回族自治县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大厂镇人民政府</w:t>
      </w:r>
      <w:r>
        <w:rPr>
          <w:rFonts w:hint="eastAsia" w:ascii="黑体" w:hAnsi="黑体" w:eastAsia="黑体"/>
          <w:sz w:val="32"/>
          <w:szCs w:val="32"/>
        </w:rPr>
        <w:t>2017年部门决算情况说明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一、收入支出决算总体情况说明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二、收入决算情况说明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三、支出决算情况说明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四、财政拨款收入支出决算总体情况说明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五、一般公共预算财政拨款“三公”经费支出决算情况说明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六、预算绩效管理工作开展情况说明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七、其他重要事项的说明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1.机关运行经费支出情况</w:t>
      </w:r>
    </w:p>
    <w:p>
      <w:pPr>
        <w:widowControl/>
        <w:spacing w:before="76" w:after="76" w:line="560" w:lineRule="exact"/>
        <w:ind w:firstLine="640" w:firstLineChars="200"/>
        <w:jc w:val="left"/>
        <w:rPr>
          <w:rFonts w:hint="eastAsia" w:ascii="仿宋" w:hAnsi="仿宋" w:eastAsia="仿宋" w:cs="仿宋_GB2312"/>
          <w:kern w:val="0"/>
          <w:sz w:val="32"/>
          <w:szCs w:val="32"/>
          <w:lang w:bidi="ar"/>
        </w:rPr>
      </w:pPr>
      <w:r>
        <w:rPr>
          <w:rFonts w:hint="eastAsia" w:ascii="仿宋" w:hAnsi="仿宋" w:eastAsia="仿宋"/>
          <w:sz w:val="32"/>
          <w:szCs w:val="32"/>
        </w:rPr>
        <w:t>2．政府采购情况。</w:t>
      </w:r>
    </w:p>
    <w:p>
      <w:pPr>
        <w:widowControl/>
        <w:spacing w:before="76" w:after="76"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3.国有资产占用情况。</w:t>
      </w:r>
    </w:p>
    <w:p>
      <w:pPr>
        <w:widowControl/>
        <w:spacing w:before="76" w:after="76"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其他需要说明的情况。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第四部分  名词解释</w:t>
      </w:r>
    </w:p>
    <w:p>
      <w:pPr>
        <w:spacing w:line="560" w:lineRule="exact"/>
        <w:ind w:left="640" w:hanging="640" w:hanging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560" w:lineRule="exact"/>
        <w:ind w:firstLine="600"/>
        <w:rPr>
          <w:sz w:val="32"/>
          <w:szCs w:val="30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32"/>
          <w:szCs w:val="44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160" w:firstLineChars="5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160" w:firstLineChars="5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160" w:firstLineChars="5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160" w:firstLineChars="5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160" w:firstLineChars="5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160" w:firstLineChars="5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160" w:firstLineChars="50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autoSpaceDN w:val="0"/>
        <w:spacing w:line="580" w:lineRule="exact"/>
        <w:rPr>
          <w:rFonts w:ascii="黑体" w:hAnsi="黑体" w:eastAsia="黑体"/>
          <w:sz w:val="32"/>
        </w:rPr>
      </w:pPr>
    </w:p>
    <w:p>
      <w:pPr>
        <w:widowControl/>
        <w:autoSpaceDN w:val="0"/>
        <w:spacing w:line="580" w:lineRule="exact"/>
        <w:rPr>
          <w:rFonts w:ascii="黑体" w:hAnsi="黑体" w:eastAsia="黑体"/>
          <w:sz w:val="32"/>
        </w:rPr>
      </w:pPr>
    </w:p>
    <w:p>
      <w:pPr>
        <w:widowControl/>
        <w:autoSpaceDN w:val="0"/>
        <w:spacing w:line="580" w:lineRule="exact"/>
        <w:rPr>
          <w:rFonts w:ascii="黑体" w:hAnsi="黑体" w:eastAsia="黑体"/>
          <w:sz w:val="32"/>
        </w:rPr>
      </w:pP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7795"/>
    <w:rsid w:val="00201720"/>
    <w:rsid w:val="003A2514"/>
    <w:rsid w:val="003F4AB2"/>
    <w:rsid w:val="00AC6424"/>
    <w:rsid w:val="00C05D2E"/>
    <w:rsid w:val="00C77795"/>
    <w:rsid w:val="00EB0FA2"/>
    <w:rsid w:val="1E170B33"/>
    <w:rsid w:val="21DC7AEB"/>
    <w:rsid w:val="252657F6"/>
    <w:rsid w:val="31EE631A"/>
    <w:rsid w:val="40DB231A"/>
    <w:rsid w:val="6132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apple-converted-space"/>
    <w:basedOn w:val="5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442</Characters>
  <Lines>3</Lines>
  <Paragraphs>1</Paragraphs>
  <TotalTime>3</TotalTime>
  <ScaleCrop>false</ScaleCrop>
  <LinksUpToDate>false</LinksUpToDate>
  <CharactersWithSpaces>518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2017-10-28T02:16:00Z</dcterms:created>
  <dc:creator>lenovo</dc:creator>
  <cp:lastModifiedBy>Administrator</cp:lastModifiedBy>
  <dcterms:modified xsi:type="dcterms:W3CDTF">2019-02-15T02:12:09Z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